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宋体" w:cs="Times New Roman"/>
          <w:color w:val="auto"/>
          <w:sz w:val="32"/>
          <w:szCs w:val="32"/>
          <w:lang w:val="en-US" w:eastAsia="zh-CN"/>
        </w:rPr>
      </w:pPr>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snapToGrid w:val="0"/>
        <w:spacing w:line="400" w:lineRule="atLeast"/>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snapToGrid w:val="0"/>
        <w:spacing w:line="400" w:lineRule="atLeast"/>
        <w:rPr>
          <w:rFonts w:hint="default" w:ascii="Times New Roman" w:hAnsi="Times New Roman" w:cs="Times New Roman"/>
          <w:color w:val="auto"/>
        </w:rPr>
      </w:pPr>
    </w:p>
    <w:tbl>
      <w:tblPr>
        <w:tblStyle w:val="8"/>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7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450" w:type="dxa"/>
            <w:noWrap w:val="0"/>
            <w:vAlign w:val="center"/>
          </w:tcPr>
          <w:p>
            <w:pPr>
              <w:snapToGrid w:val="0"/>
              <w:spacing w:line="400" w:lineRule="atLeast"/>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7741" w:type="dxa"/>
            <w:noWrap w:val="0"/>
            <w:vAlign w:val="center"/>
          </w:tcPr>
          <w:p>
            <w:pPr>
              <w:snapToGrid w:val="0"/>
              <w:spacing w:line="40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1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lang w:eastAsia="zh-CN"/>
              </w:rPr>
              <w:t>辉绿岩、石灰石及矿粉</w:t>
            </w:r>
          </w:p>
        </w:tc>
        <w:tc>
          <w:tcPr>
            <w:tcW w:w="774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1.申请人若为生产厂家，须具备：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（1）独立的法人资</w:t>
            </w:r>
            <w:bookmarkStart w:id="0" w:name="_GoBack"/>
            <w:bookmarkEnd w:id="0"/>
            <w:r>
              <w:rPr>
                <w:rFonts w:hint="default" w:ascii="Times New Roman" w:hAnsi="Times New Roman" w:cs="Times New Roman"/>
                <w:color w:val="auto"/>
                <w:sz w:val="24"/>
                <w:szCs w:val="24"/>
                <w:lang w:val="en-US" w:eastAsia="zh-CN"/>
              </w:rPr>
              <w:t>格，具备有效的《营业执照》；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w:t>
            </w:r>
            <w:r>
              <w:rPr>
                <w:rFonts w:hint="eastAsia" w:cs="Times New Roman"/>
                <w:kern w:val="0"/>
                <w:szCs w:val="24"/>
                <w:highlight w:val="none"/>
                <w:lang w:val="en-US" w:eastAsia="zh-CN"/>
              </w:rPr>
              <w:t>6个月内具有公路工程综合甲级资质的第三方检测机构出具的</w:t>
            </w:r>
            <w:r>
              <w:rPr>
                <w:rFonts w:hint="default" w:ascii="Times New Roman" w:hAnsi="Times New Roman" w:cs="Times New Roman"/>
                <w:color w:val="auto"/>
                <w:sz w:val="24"/>
                <w:szCs w:val="24"/>
                <w:highlight w:val="none"/>
                <w:lang w:val="en-US" w:eastAsia="zh-CN"/>
              </w:rPr>
              <w:t>检测报告。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2.申请人若为代理销售类供应商，须同时具备：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（1）独立的法人资格，具备有效的《营业执照》；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color w:val="auto"/>
                <w:sz w:val="24"/>
                <w:szCs w:val="24"/>
                <w:lang w:val="en-US" w:eastAsia="zh-CN"/>
              </w:rPr>
              <w:t>（2）按第“1”款要求，提供料源生产厂家的（1）（2）项资料。</w:t>
            </w:r>
          </w:p>
        </w:tc>
      </w:tr>
    </w:tbl>
    <w:p>
      <w:pPr>
        <w:spacing w:line="500" w:lineRule="exact"/>
        <w:rPr>
          <w:rFonts w:hint="default" w:ascii="Times New Roman" w:hAnsi="Times New Roman" w:cs="Times New Roman"/>
          <w:color w:val="auto"/>
          <w:sz w:val="28"/>
          <w:szCs w:val="28"/>
        </w:rPr>
      </w:pPr>
    </w:p>
    <w:p>
      <w:pPr>
        <w:spacing w:line="500" w:lineRule="exact"/>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ind w:left="480" w:firstLine="480"/>
        <w:rPr>
          <w:rFonts w:hint="default" w:ascii="Times New Roman" w:hAnsi="Times New Roman" w:cs="Times New Roman"/>
          <w:color w:val="auto"/>
        </w:rPr>
      </w:pPr>
    </w:p>
    <w:tbl>
      <w:tblPr>
        <w:tblStyle w:val="8"/>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7"/>
        <w:gridCol w:w="7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57"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834"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57" w:type="dxa"/>
            <w:noWrap w:val="0"/>
            <w:vAlign w:val="center"/>
          </w:tcPr>
          <w:p>
            <w:pPr>
              <w:jc w:val="center"/>
              <w:rPr>
                <w:rFonts w:hint="default" w:ascii="Times New Roman" w:hAnsi="Times New Roman" w:cs="Times New Roman"/>
                <w:color w:val="auto"/>
              </w:rPr>
            </w:pPr>
            <w:r>
              <w:rPr>
                <w:rFonts w:hint="eastAsia"/>
                <w:lang w:val="en-US" w:eastAsia="zh-CN"/>
              </w:rPr>
              <w:t>辉绿岩、石灰石及矿粉</w:t>
            </w:r>
            <w:r>
              <w:rPr>
                <w:rFonts w:hint="eastAsia"/>
                <w:lang w:eastAsia="zh-CN"/>
              </w:rPr>
              <w:t>采购</w:t>
            </w:r>
          </w:p>
        </w:tc>
        <w:tc>
          <w:tcPr>
            <w:tcW w:w="7834" w:type="dxa"/>
            <w:noWrap w:val="0"/>
            <w:vAlign w:val="center"/>
          </w:tcPr>
          <w:p>
            <w:pPr>
              <w:widowControl/>
              <w:rPr>
                <w:rFonts w:hint="default" w:ascii="Times New Roman" w:hAnsi="Times New Roman" w:cs="Times New Roman"/>
                <w:color w:val="000000"/>
                <w:highlight w:val="none"/>
              </w:rPr>
            </w:pPr>
            <w:r>
              <w:rPr>
                <w:rFonts w:hint="default" w:ascii="Times New Roman" w:hAnsi="Times New Roman" w:cs="Times New Roman"/>
                <w:color w:val="000000"/>
                <w:highlight w:val="none"/>
              </w:rPr>
              <w:t>第一种方式：</w:t>
            </w:r>
          </w:p>
          <w:p>
            <w:pPr>
              <w:rPr>
                <w:rFonts w:hint="default" w:ascii="Times New Roman" w:hAnsi="Times New Roman" w:eastAsia="宋体" w:cs="Times New Roman"/>
                <w:highlight w:val="none"/>
                <w:lang w:val="en-US" w:eastAsia="zh-CN"/>
              </w:rPr>
            </w:pPr>
            <w:r>
              <w:rPr>
                <w:rFonts w:hint="default" w:ascii="Times New Roman" w:hAnsi="Times New Roman" w:cs="Times New Roman"/>
                <w:color w:val="000000"/>
                <w:highlight w:val="none"/>
              </w:rPr>
              <w:t>近3年每年的营业收入不少于</w:t>
            </w:r>
            <w:r>
              <w:rPr>
                <w:rFonts w:hint="eastAsia" w:cs="Times New Roman"/>
                <w:color w:val="000000"/>
                <w:highlight w:val="none"/>
                <w:lang w:val="en-US" w:eastAsia="zh-CN"/>
              </w:rPr>
              <w:t>160</w:t>
            </w:r>
            <w:r>
              <w:rPr>
                <w:rFonts w:hint="default" w:ascii="Times New Roman" w:hAnsi="Times New Roman" w:cs="Times New Roman"/>
                <w:color w:val="000000"/>
                <w:highlight w:val="none"/>
              </w:rPr>
              <w:t>万元</w:t>
            </w:r>
            <w:r>
              <w:rPr>
                <w:rFonts w:hint="default" w:ascii="Times New Roman" w:hAnsi="Times New Roman" w:cs="Times New Roman"/>
                <w:color w:val="000000"/>
                <w:highlight w:val="none"/>
                <w:lang w:eastAsia="zh-CN"/>
              </w:rPr>
              <w:t>，</w:t>
            </w:r>
            <w:r>
              <w:rPr>
                <w:rFonts w:hint="default" w:ascii="Times New Roman" w:hAnsi="Times New Roman" w:cs="Times New Roman"/>
                <w:color w:val="000000"/>
                <w:highlight w:val="none"/>
              </w:rPr>
              <w:t>近3年每年的</w:t>
            </w:r>
            <w:r>
              <w:rPr>
                <w:rFonts w:hint="default" w:ascii="Times New Roman" w:hAnsi="Times New Roman" w:cs="Times New Roman"/>
                <w:color w:val="000000"/>
                <w:highlight w:val="none"/>
                <w:lang w:val="en-US" w:eastAsia="zh-CN"/>
              </w:rPr>
              <w:t>净资产不少于</w:t>
            </w:r>
            <w:r>
              <w:rPr>
                <w:rFonts w:hint="eastAsia" w:cs="Times New Roman"/>
                <w:color w:val="000000"/>
                <w:highlight w:val="none"/>
                <w:lang w:val="en-US" w:eastAsia="zh-CN"/>
              </w:rPr>
              <w:t>50</w:t>
            </w:r>
            <w:r>
              <w:rPr>
                <w:rFonts w:hint="default" w:ascii="Times New Roman" w:hAnsi="Times New Roman" w:cs="Times New Roman"/>
                <w:color w:val="000000"/>
                <w:highlight w:val="none"/>
                <w:lang w:val="en-US" w:eastAsia="zh-CN"/>
              </w:rPr>
              <w:t>万元。</w:t>
            </w:r>
          </w:p>
          <w:p>
            <w:pPr>
              <w:widowControl/>
              <w:rPr>
                <w:rFonts w:hint="default" w:ascii="Times New Roman" w:hAnsi="Times New Roman" w:cs="Times New Roman"/>
                <w:color w:val="000000"/>
                <w:highlight w:val="none"/>
              </w:rPr>
            </w:pPr>
            <w:r>
              <w:rPr>
                <w:rFonts w:hint="default" w:ascii="Times New Roman" w:hAnsi="Times New Roman" w:cs="Times New Roman"/>
                <w:color w:val="000000"/>
                <w:highlight w:val="none"/>
              </w:rPr>
              <w:t>第二种方式：</w:t>
            </w:r>
          </w:p>
          <w:p>
            <w:pPr>
              <w:widowControl/>
              <w:rPr>
                <w:rFonts w:hint="default" w:ascii="Times New Roman" w:hAnsi="Times New Roman" w:cs="Times New Roman"/>
                <w:color w:val="000000"/>
                <w:highlight w:val="none"/>
              </w:rPr>
            </w:pPr>
            <w:r>
              <w:rPr>
                <w:rFonts w:hint="default" w:ascii="Times New Roman" w:hAnsi="Times New Roman" w:cs="Times New Roman"/>
                <w:color w:val="000000"/>
                <w:highlight w:val="none"/>
              </w:rPr>
              <w:t>由银行出具申请日前3个月内（</w:t>
            </w:r>
            <w:r>
              <w:rPr>
                <w:rFonts w:hint="default" w:ascii="Times New Roman" w:hAnsi="Times New Roman" w:cs="Times New Roman"/>
                <w:color w:val="000000"/>
                <w:highlight w:val="none"/>
                <w:lang w:val="en-US" w:eastAsia="zh-CN"/>
              </w:rPr>
              <w:t>2021年</w:t>
            </w:r>
            <w:r>
              <w:rPr>
                <w:rFonts w:hint="eastAsia" w:cs="Times New Roman"/>
                <w:color w:val="000000"/>
                <w:highlight w:val="none"/>
                <w:lang w:val="en-US" w:eastAsia="zh-CN"/>
              </w:rPr>
              <w:t>5</w:t>
            </w:r>
            <w:r>
              <w:rPr>
                <w:rFonts w:hint="default" w:ascii="Times New Roman" w:hAnsi="Times New Roman" w:cs="Times New Roman"/>
                <w:color w:val="000000"/>
                <w:highlight w:val="none"/>
                <w:lang w:eastAsia="zh-CN"/>
              </w:rPr>
              <w:t>、</w:t>
            </w:r>
            <w:r>
              <w:rPr>
                <w:rFonts w:hint="eastAsia" w:cs="Times New Roman"/>
                <w:color w:val="000000"/>
                <w:highlight w:val="none"/>
                <w:lang w:val="en-US" w:eastAsia="zh-CN"/>
              </w:rPr>
              <w:t>6、7</w:t>
            </w:r>
            <w:r>
              <w:rPr>
                <w:rFonts w:hint="default" w:ascii="Times New Roman" w:hAnsi="Times New Roman" w:cs="Times New Roman"/>
                <w:color w:val="000000"/>
                <w:highlight w:val="none"/>
              </w:rPr>
              <w:t>月）的单位账户流水证明，3个月月末账户余额的平均值不少于</w:t>
            </w:r>
            <w:r>
              <w:rPr>
                <w:rFonts w:hint="eastAsia" w:cs="Times New Roman"/>
                <w:color w:val="000000"/>
                <w:highlight w:val="none"/>
                <w:lang w:val="en-US" w:eastAsia="zh-CN"/>
              </w:rPr>
              <w:t>5</w:t>
            </w:r>
            <w:r>
              <w:rPr>
                <w:rFonts w:hint="default" w:ascii="Times New Roman" w:hAnsi="Times New Roman" w:cs="Times New Roman"/>
                <w:color w:val="000000"/>
                <w:highlight w:val="none"/>
              </w:rPr>
              <w:t>万元。</w:t>
            </w:r>
          </w:p>
          <w:p>
            <w:pPr>
              <w:widowControl/>
              <w:rPr>
                <w:rFonts w:hint="default" w:ascii="Times New Roman" w:hAnsi="Times New Roman" w:cs="Times New Roman"/>
                <w:color w:val="auto"/>
                <w:szCs w:val="28"/>
                <w:highlight w:val="yellow"/>
              </w:rPr>
            </w:pPr>
            <w:r>
              <w:rPr>
                <w:rFonts w:hint="default" w:ascii="Times New Roman" w:hAnsi="Times New Roman" w:cs="Times New Roman"/>
                <w:color w:val="000000"/>
                <w:highlight w:val="none"/>
              </w:rPr>
              <w:t>上述两种方式满足其中一种即可。</w:t>
            </w:r>
          </w:p>
        </w:tc>
      </w:tr>
    </w:tbl>
    <w:p>
      <w:pPr>
        <w:snapToGrid w:val="0"/>
        <w:spacing w:line="400" w:lineRule="atLeast"/>
        <w:ind w:firstLine="420" w:firstLineChars="200"/>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注：1.采用第一种方式应附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11"/>
        <w:spacing w:line="400" w:lineRule="exact"/>
        <w:ind w:firstLine="840" w:firstLineChars="400"/>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2.采用第二种方式应附银行出具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snapToGrid w:val="0"/>
        <w:spacing w:line="400" w:lineRule="atLeast"/>
        <w:ind w:firstLine="960" w:firstLineChars="400"/>
        <w:rPr>
          <w:rFonts w:hint="default" w:ascii="Times New Roman" w:hAnsi="Times New Roman" w:eastAsia="黑体" w:cs="Times New Roman"/>
          <w:color w:val="auto"/>
        </w:rPr>
      </w:pPr>
    </w:p>
    <w:p>
      <w:pPr>
        <w:snapToGrid w:val="0"/>
        <w:spacing w:line="400" w:lineRule="atLeast"/>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snapToGrid w:val="0"/>
        <w:spacing w:line="400" w:lineRule="atLeast"/>
        <w:jc w:val="center"/>
        <w:rPr>
          <w:rFonts w:hint="default" w:ascii="Times New Roman" w:hAnsi="Times New Roman" w:eastAsia="黑体" w:cs="Times New Roman"/>
          <w:color w:val="auto"/>
        </w:rPr>
      </w:pPr>
    </w:p>
    <w:tbl>
      <w:tblPr>
        <w:tblStyle w:val="8"/>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398"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398" w:type="dxa"/>
            <w:noWrap w:val="0"/>
            <w:vAlign w:val="center"/>
          </w:tcPr>
          <w:p>
            <w:pPr>
              <w:jc w:val="center"/>
              <w:rPr>
                <w:rFonts w:hint="default" w:ascii="Times New Roman" w:hAnsi="Times New Roman" w:cs="Times New Roman"/>
                <w:color w:val="auto"/>
              </w:rPr>
            </w:pPr>
            <w:r>
              <w:rPr>
                <w:rFonts w:hint="eastAsia"/>
                <w:lang w:val="en-US" w:eastAsia="zh-CN"/>
              </w:rPr>
              <w:t>辉绿岩、石灰石及矿粉</w:t>
            </w:r>
            <w:r>
              <w:rPr>
                <w:rFonts w:hint="eastAsia"/>
                <w:lang w:eastAsia="zh-CN"/>
              </w:rPr>
              <w:t>采购</w:t>
            </w:r>
          </w:p>
        </w:tc>
        <w:tc>
          <w:tcPr>
            <w:tcW w:w="7793" w:type="dxa"/>
            <w:noWrap w:val="0"/>
            <w:vAlign w:val="center"/>
          </w:tcPr>
          <w:p>
            <w:pPr>
              <w:rPr>
                <w:rFonts w:hint="default" w:ascii="Times New Roman" w:hAnsi="Times New Roman" w:cs="Times New Roman"/>
                <w:color w:val="auto"/>
                <w:sz w:val="28"/>
                <w:szCs w:val="28"/>
              </w:rPr>
            </w:pPr>
            <w:r>
              <w:rPr>
                <w:rFonts w:hint="default" w:ascii="Times New Roman" w:hAnsi="Times New Roman" w:cs="Times New Roman"/>
                <w:color w:val="auto"/>
                <w:highlight w:val="none"/>
              </w:rPr>
              <w:t>近3年</w:t>
            </w:r>
            <w:r>
              <w:rPr>
                <w:rFonts w:hint="default" w:ascii="Times New Roman" w:hAnsi="Times New Roman" w:cs="Times New Roman"/>
                <w:szCs w:val="24"/>
                <w:highlight w:val="none"/>
              </w:rPr>
              <w:t>（2018年1月1日至申请截止日）</w:t>
            </w:r>
            <w:r>
              <w:rPr>
                <w:rFonts w:hint="default" w:ascii="Times New Roman" w:hAnsi="Times New Roman" w:cs="Times New Roman"/>
                <w:color w:val="auto"/>
                <w:highlight w:val="none"/>
                <w:lang w:val="en-US" w:eastAsia="zh-CN"/>
              </w:rPr>
              <w:t>承担过1个</w:t>
            </w:r>
            <w:r>
              <w:rPr>
                <w:rFonts w:hint="eastAsia"/>
                <w:lang w:val="en-US" w:eastAsia="zh-CN"/>
              </w:rPr>
              <w:t>辉绿岩或石灰石或矿粉等类似项目</w:t>
            </w:r>
            <w:r>
              <w:rPr>
                <w:rFonts w:hint="default" w:ascii="Times New Roman" w:hAnsi="Times New Roman" w:cs="Times New Roman"/>
                <w:color w:val="auto"/>
                <w:highlight w:val="none"/>
                <w:lang w:val="en-US" w:eastAsia="zh-CN"/>
              </w:rPr>
              <w:t>供应</w:t>
            </w:r>
            <w:r>
              <w:rPr>
                <w:rFonts w:hint="default" w:ascii="Times New Roman" w:hAnsi="Times New Roman" w:cs="Times New Roman"/>
                <w:color w:val="auto"/>
                <w:highlight w:val="none"/>
              </w:rPr>
              <w:t>业绩。</w:t>
            </w:r>
          </w:p>
        </w:tc>
      </w:tr>
    </w:tbl>
    <w:p>
      <w:pPr>
        <w:pStyle w:val="11"/>
        <w:spacing w:line="400" w:lineRule="exact"/>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spacing w:line="500" w:lineRule="exact"/>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snapToGrid w:val="0"/>
        <w:spacing w:line="400" w:lineRule="atLeast"/>
        <w:rPr>
          <w:rFonts w:hint="default" w:ascii="Times New Roman" w:hAnsi="Times New Roman" w:cs="Times New Roman"/>
          <w:bCs/>
          <w:color w:val="auto"/>
        </w:rPr>
      </w:pPr>
    </w:p>
    <w:tbl>
      <w:tblPr>
        <w:tblStyle w:val="8"/>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8"/>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98"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93" w:type="dxa"/>
            <w:noWrap w:val="0"/>
            <w:vAlign w:val="center"/>
          </w:tcPr>
          <w:p>
            <w:pPr>
              <w:snapToGrid w:val="0"/>
              <w:spacing w:line="400" w:lineRule="atLeast"/>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398" w:type="dxa"/>
            <w:noWrap w:val="0"/>
            <w:vAlign w:val="center"/>
          </w:tcPr>
          <w:p>
            <w:pPr>
              <w:jc w:val="center"/>
              <w:rPr>
                <w:rFonts w:hint="default" w:ascii="Times New Roman" w:hAnsi="Times New Roman" w:cs="Times New Roman"/>
                <w:color w:val="auto"/>
              </w:rPr>
            </w:pPr>
            <w:r>
              <w:rPr>
                <w:rFonts w:hint="eastAsia"/>
                <w:lang w:val="en-US" w:eastAsia="zh-CN"/>
              </w:rPr>
              <w:t>辉绿岩、石灰石及矿粉</w:t>
            </w:r>
            <w:r>
              <w:rPr>
                <w:rFonts w:hint="eastAsia"/>
                <w:lang w:eastAsia="zh-CN"/>
              </w:rPr>
              <w:t>采购</w:t>
            </w:r>
          </w:p>
        </w:tc>
        <w:tc>
          <w:tcPr>
            <w:tcW w:w="779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2、处于被交通运输部或湖北省交通运输主管部门做出禁止进入公路建设市场的处罚且处于有效期内；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（2）在“信用中国”网站（http://www.creditchina.gov.cn/）中被列入失信被执行人名单或重大税收违法案件当事人；</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（4）其他在“信用中国”网站（http://www.creditchina.gov.cn/）中被列为</w:t>
            </w:r>
            <w:r>
              <w:rPr>
                <w:rFonts w:hint="default" w:ascii="Times New Roman" w:hAnsi="Times New Roman" w:eastAsia="宋体" w:cs="Times New Roman"/>
                <w:color w:val="auto"/>
              </w:rPr>
              <w:t>失信惩戒对象，且按联合惩戒要求禁止参与招投标的</w:t>
            </w:r>
            <w:r>
              <w:rPr>
                <w:rFonts w:hint="default" w:ascii="Times New Roman" w:hAnsi="Times New Roman" w:eastAsia="宋体" w:cs="Times New Roman"/>
                <w:color w:val="auto"/>
                <w:lang w:val="en-US" w:eastAsia="zh-CN"/>
              </w:rPr>
              <w:t>；</w:t>
            </w:r>
          </w:p>
          <w:p>
            <w:pPr>
              <w:widowControl/>
              <w:spacing w:line="360" w:lineRule="auto"/>
              <w:ind w:firstLine="0" w:firstLineChars="0"/>
              <w:jc w:val="left"/>
              <w:outlineLvl w:val="9"/>
              <w:rPr>
                <w:rFonts w:hint="default" w:ascii="Times New Roman" w:hAnsi="Times New Roman" w:eastAsia="宋体" w:cs="Times New Roman"/>
                <w:color w:val="auto"/>
              </w:rPr>
            </w:pPr>
            <w:r>
              <w:rPr>
                <w:rFonts w:hint="default" w:ascii="Times New Roman" w:hAnsi="Times New Roman" w:eastAsia="宋体" w:cs="Times New Roman"/>
                <w:color w:val="auto"/>
              </w:rPr>
              <w:t>（5）上</w:t>
            </w:r>
            <w:r>
              <w:rPr>
                <w:rFonts w:hint="default" w:ascii="Times New Roman" w:hAnsi="Times New Roman" w:eastAsia="宋体" w:cs="Times New Roman"/>
                <w:color w:val="auto"/>
                <w:lang w:val="en-US" w:eastAsia="zh-CN"/>
              </w:rPr>
              <w:t>二</w:t>
            </w:r>
            <w:r>
              <w:rPr>
                <w:rFonts w:hint="default" w:ascii="Times New Roman" w:hAnsi="Times New Roman" w:eastAsia="宋体" w:cs="Times New Roman"/>
                <w:color w:val="auto"/>
              </w:rPr>
              <w:t>年度被遴选人列入D级资源库的协作单位；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lang w:val="en-US" w:eastAsia="zh-CN"/>
              </w:rPr>
              <w:t>6</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近三年度被遴选人列入Z级资源库的协作单位。</w:t>
            </w:r>
          </w:p>
        </w:tc>
      </w:tr>
    </w:tbl>
    <w:p>
      <w:pPr>
        <w:pStyle w:val="2"/>
        <w:ind w:left="0" w:leftChars="0" w:firstLine="0" w:firstLineChars="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对以上（1）、（2）、（4）信用状况应附指定网站截图，截图时间为遴选公告发布之日至申请截止日之间。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6567E"/>
    <w:rsid w:val="2F364BC6"/>
    <w:rsid w:val="3056567E"/>
    <w:rsid w:val="35821478"/>
    <w:rsid w:val="3989369D"/>
    <w:rsid w:val="5C9704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340" w:after="330" w:line="578" w:lineRule="auto"/>
      <w:jc w:val="left"/>
      <w:outlineLvl w:val="0"/>
    </w:pPr>
    <w:rPr>
      <w:rFonts w:ascii="Times New Roman" w:hAnsi="Times New Roman" w:eastAsia="黑体" w:cs="Times New Roman"/>
      <w:bCs/>
      <w:kern w:val="44"/>
      <w:sz w:val="28"/>
      <w:szCs w:val="44"/>
    </w:rPr>
  </w:style>
  <w:style w:type="paragraph" w:styleId="5">
    <w:name w:val="heading 2"/>
    <w:basedOn w:val="1"/>
    <w:next w:val="1"/>
    <w:link w:val="10"/>
    <w:semiHidden/>
    <w:unhideWhenUsed/>
    <w:qFormat/>
    <w:uiPriority w:val="0"/>
    <w:pPr>
      <w:keepNext/>
      <w:keepLines/>
      <w:spacing w:before="260" w:after="260" w:line="416" w:lineRule="auto"/>
      <w:outlineLvl w:val="1"/>
    </w:pPr>
    <w:rPr>
      <w:rFonts w:ascii="Cambria" w:hAnsi="Cambria" w:eastAsia="仿宋_GB2312" w:cs="Times New Roman"/>
      <w:b/>
      <w:bCs/>
      <w:sz w:val="32"/>
      <w:szCs w:val="32"/>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6">
    <w:name w:val="Body Text"/>
    <w:basedOn w:val="1"/>
    <w:next w:val="1"/>
    <w:qFormat/>
    <w:uiPriority w:val="1"/>
    <w:pPr>
      <w:ind w:left="101"/>
    </w:pPr>
    <w:rPr>
      <w:rFonts w:ascii="宋体" w:hAnsi="宋体" w:eastAsia="宋体" w:cs="宋体"/>
      <w:lang w:val="zh-CN" w:bidi="zh-CN"/>
    </w:rPr>
  </w:style>
  <w:style w:type="paragraph" w:styleId="7">
    <w:name w:val="Body Text First Indent"/>
    <w:basedOn w:val="6"/>
    <w:qFormat/>
    <w:uiPriority w:val="99"/>
    <w:pPr>
      <w:spacing w:line="360" w:lineRule="auto"/>
      <w:ind w:firstLine="420" w:firstLineChars="100"/>
    </w:pPr>
    <w:rPr>
      <w:rFonts w:hAnsi="Times New Roman"/>
      <w:szCs w:val="21"/>
    </w:rPr>
  </w:style>
  <w:style w:type="character" w:customStyle="1" w:styleId="10">
    <w:name w:val="标题 2 Char"/>
    <w:link w:val="5"/>
    <w:qFormat/>
    <w:uiPriority w:val="0"/>
    <w:rPr>
      <w:rFonts w:ascii="Cambria" w:hAnsi="Cambria" w:eastAsia="仿宋_GB2312" w:cs="Times New Roman"/>
      <w:b/>
      <w:bCs/>
      <w:sz w:val="32"/>
      <w:szCs w:val="32"/>
    </w:rPr>
  </w:style>
  <w:style w:type="paragraph" w:customStyle="1" w:styleId="11">
    <w:name w:val="正文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2021-08-04T06:58:00Z</dcterms:created>
  <dc:creator>陈保国</dc:creator>
  <cp:lastModifiedBy>陈保国</cp:lastModifiedBy>
  <dcterms:modified xsi:type="dcterms:W3CDTF">2021-08-04T07:00:11Z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